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 распределить часы внеурочной деятельности по направлениям</w:t>
      </w:r>
      <w:r/>
    </w:p>
    <w:p>
      <w:pPr>
        <w:pStyle w:val="605"/>
        <w:jc w:val="center"/>
        <w:rPr>
          <w:rFonts w:ascii="Times New Roman" w:hAnsi="Times New Roman" w:cs="Times New Roman"/>
          <w:b/>
          <w:sz w:val="28"/>
          <w:szCs w:val="28"/>
        </w:rPr>
      </w:pPr>
      <w:r/>
      <w:bookmarkStart w:id="0" w:name="_GoBack"/>
      <w:r/>
      <w:bookmarkEnd w:id="0"/>
      <w:r/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Распределить ча</w:t>
      </w:r>
      <w:r>
        <w:rPr>
          <w:rFonts w:ascii="Times New Roman" w:hAnsi="Times New Roman" w:cs="Times New Roman"/>
          <w:sz w:val="24"/>
          <w:szCs w:val="24"/>
        </w:rPr>
        <w:t xml:space="preserve">сы внеурочной деятельности между направлениями внеурочной деятельности и формами ее организации школа может по своему усмотрению. Важно только уложиться в тот недельный объем и объем на период обучения, которые предписывают стандарты и санитарные правила (</w:t>
      </w:r>
      <w:hyperlink r:id="rId9" w:tooltip="https://1zavuch.ru/#/document/99/573500115/XA00MA02MT/" w:anchor="/document/99/573500115/XA00MA02MT/" w:history="1">
        <w:r>
          <w:rPr>
            <w:rStyle w:val="604"/>
            <w:rFonts w:ascii="Times New Roman" w:hAnsi="Times New Roman" w:cs="Times New Roman"/>
            <w:sz w:val="24"/>
            <w:szCs w:val="24"/>
          </w:rPr>
          <w:t xml:space="preserve">таблица 6.6 СанПиН 1.2.3685-21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 </w:t>
      </w:r>
      <w:hyperlink r:id="rId10" w:tooltip="https://1zavuch.ru/#/document/99/607175842/XA00MBK2NE/" w:anchor="/document/99/607175842/XA00MBK2NE/" w:history="1">
        <w:r>
          <w:rPr>
            <w:rStyle w:val="604"/>
            <w:rFonts w:ascii="Times New Roman" w:hAnsi="Times New Roman" w:cs="Times New Roman"/>
            <w:sz w:val="24"/>
            <w:szCs w:val="24"/>
          </w:rPr>
          <w:t xml:space="preserve">п. 32.2 ФГОС НОО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 </w:t>
      </w:r>
      <w:hyperlink r:id="rId11" w:tooltip="https://1zavuch.ru/#/document/99/607175848/XA00M3A2ME/" w:anchor="/document/99/607175848/XA00M3A2ME/" w:history="1">
        <w:r>
          <w:rPr>
            <w:rStyle w:val="604"/>
            <w:rFonts w:ascii="Times New Roman" w:hAnsi="Times New Roman" w:cs="Times New Roman"/>
            <w:sz w:val="24"/>
            <w:szCs w:val="24"/>
          </w:rPr>
          <w:t xml:space="preserve">п. 33.2 ФГОС ООО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Минпросвещения в </w:t>
      </w:r>
      <w:hyperlink r:id="rId12" w:tooltip="https://1zavuch.ru/" w:history="1">
        <w:r>
          <w:rPr>
            <w:rStyle w:val="604"/>
            <w:rFonts w:ascii="Times New Roman" w:hAnsi="Times New Roman" w:cs="Times New Roman"/>
            <w:sz w:val="24"/>
            <w:szCs w:val="24"/>
          </w:rPr>
          <w:t xml:space="preserve">методических рекомендациях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по организации внеурочной деятельности по ФГОС НОО и ООО 2021 года также предлагает примерное распределение часов между направлениями внеурочной деятельности.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986"/>
        <w:gridCol w:w="3353"/>
      </w:tblGrid>
      <w:tr>
        <w:trPr/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19022" w:type="dxa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внеурочной деятельности</w:t>
            </w:r>
            <w:r/>
          </w:p>
        </w:tc>
        <w:tc>
          <w:tcPr>
            <w:tcMar>
              <w:left w:w="75" w:type="dxa"/>
              <w:top w:w="75" w:type="dxa"/>
              <w:right w:w="75" w:type="dxa"/>
              <w:bottom w:w="75" w:type="dxa"/>
            </w:tcMar>
            <w:tcW w:w="9222" w:type="dxa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Рекомендуемое количество часов в неделю</w:t>
            </w:r>
            <w:r/>
          </w:p>
        </w:tc>
      </w:tr>
      <w:tr>
        <w:trPr/>
        <w:tc>
          <w:tcPr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Style w:val="6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Часть, рекомендуемая для всех обучающихся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022" w:type="dxa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важном»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22" w:type="dxa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022" w:type="dxa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функциональной грамотности обучающихся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22" w:type="dxa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022" w:type="dxa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профориентационных интересов и потребностей обучающихся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22" w:type="dxa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2"/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Style w:val="6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Вариативная часть</w:t>
            </w:r>
            <w:r>
              <w:rPr>
                <w:b/>
              </w:rPr>
            </w:r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022" w:type="dxa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связанные с реализацией особых интеллектуальных и социокультурных потребностей обучающихся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22" w:type="dxa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022" w:type="dxa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22" w:type="dxa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19022" w:type="dxa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Занятия, направленные на удовлетворение социальных интересов и потребностей обучающихся,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9222" w:type="dxa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</w:tbl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Распределите часы внеурочной деятельности по своему усмотрению – определите наиб</w:t>
      </w:r>
      <w:r>
        <w:rPr>
          <w:rFonts w:ascii="Times New Roman" w:hAnsi="Times New Roman" w:cs="Times New Roman"/>
          <w:sz w:val="24"/>
          <w:szCs w:val="24"/>
        </w:rPr>
        <w:t xml:space="preserve">олее приоритетные направления внеурочной деятельности для конкретных классов. Например, чтобы помочь ученикам 1-4-х и 5-х классов успешно адаптироваться на новой ступени образования, выделите большее количество часов на соответствующие направления внеурочки.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Еще примерная ООП ООО и </w:t>
      </w:r>
      <w:hyperlink r:id="rId13" w:tooltip="https://1zavuch.ru/" w:history="1">
        <w:r>
          <w:rPr>
            <w:rStyle w:val="604"/>
            <w:rFonts w:ascii="Times New Roman" w:hAnsi="Times New Roman" w:cs="Times New Roman"/>
            <w:sz w:val="24"/>
            <w:szCs w:val="24"/>
          </w:rPr>
          <w:t xml:space="preserve">методические рекомендации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по организации внеурочной деятельности по ФГОС НОО и ООО 2021 года предлагают три модели плана внеурочной деятельности: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</w:t>
      </w:r>
      <w:r>
        <w:rPr>
          <w:rFonts w:ascii="Times New Roman" w:hAnsi="Times New Roman" w:cs="Times New Roman"/>
          <w:sz w:val="24"/>
          <w:szCs w:val="24"/>
        </w:rPr>
        <w:t xml:space="preserve">Модель с преобладанием учебно-познавательной деятельности.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</w:t>
      </w:r>
      <w:r>
        <w:rPr>
          <w:rFonts w:ascii="Times New Roman" w:hAnsi="Times New Roman" w:cs="Times New Roman"/>
          <w:sz w:val="24"/>
          <w:szCs w:val="24"/>
        </w:rPr>
        <w:t xml:space="preserve">Модель с преобладанием педагогической поддержки обучающихся.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</w:t>
      </w:r>
      <w:r>
        <w:rPr>
          <w:rFonts w:ascii="Times New Roman" w:hAnsi="Times New Roman" w:cs="Times New Roman"/>
          <w:sz w:val="24"/>
          <w:szCs w:val="24"/>
        </w:rPr>
        <w:t xml:space="preserve">Модель с преобладанием деятельности ученических сообществ и воспитательных мероприятий.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Каждая модель отличается преобладанием конкретных направлений и форм деятельности педагогов и школьников.</w:t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Содержательное наполнение моделей плана внеурочной деятельности по ФГОС НОО и ООО 2021 года в соответствии с методрекомендациями Минпросвещения</w:t>
      </w:r>
      <w:r/>
    </w:p>
    <w:p>
      <w:pPr>
        <w:pStyle w:val="6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5000" w:type="pct"/>
        <w:tblBorders>
          <w:top w:val="single" w:color="222222" w:sz="6" w:space="0"/>
          <w:left w:val="single" w:color="222222" w:sz="6" w:space="0"/>
          <w:bottom w:val="single" w:color="222222" w:sz="6" w:space="0"/>
          <w:right w:val="single" w:color="222222" w:sz="6" w:space="0"/>
        </w:tblBorders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531"/>
        <w:gridCol w:w="3211"/>
        <w:gridCol w:w="5597"/>
      </w:tblGrid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Модель плана внеурочной деятельности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Содержательное наполнение</w:t>
            </w:r>
            <w:r/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Преобладание учебно-познавательной деятельности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по углубленному изучению отдельных учебных предметов.</w:t>
            </w:r>
            <w:r/>
          </w:p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по формированию функциональной грамотности.</w:t>
            </w:r>
            <w:r/>
          </w:p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с педагогами, сопровождающими проектно-исследовательскую деятельность.</w:t>
            </w:r>
            <w:r/>
          </w:p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Профориентационные занятия обучающихся</w:t>
            </w:r>
            <w:r/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Преобладание педагогической поддержки обучающихся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обучающихся, испытывающих затруднения в освоении учебной программы.</w:t>
            </w:r>
            <w:r/>
          </w:p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занятия обучающихся, испытывающих трудности в освоении языков обучения.</w:t>
            </w:r>
            <w:r/>
          </w:p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занятия обучающихся, испытывающих затруднения в социальной коммуникации.</w:t>
            </w:r>
            <w:r/>
          </w:p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занятия обучающихся с ограниченными возможностями здоровья</w:t>
            </w:r>
            <w:r/>
          </w:p>
        </w:tc>
      </w:tr>
      <w:tr>
        <w:trPr/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Преобладание деятельности ученических сообществ и воспитательных мероприятий</w:t>
            </w:r>
            <w:r/>
          </w:p>
        </w:tc>
        <w:tc>
          <w:tcPr>
            <w:tcBorders>
              <w:top w:val="single" w:color="222222" w:sz="6" w:space="0"/>
              <w:left w:val="single" w:color="222222" w:sz="6" w:space="0"/>
              <w:bottom w:val="single" w:color="222222" w:sz="6" w:space="0"/>
              <w:right w:val="single" w:color="222222" w:sz="6" w:space="0"/>
            </w:tcBorders>
            <w:tcMar>
              <w:left w:w="75" w:type="dxa"/>
              <w:top w:w="75" w:type="dxa"/>
              <w:right w:w="75" w:type="dxa"/>
              <w:bottom w:w="75" w:type="dxa"/>
            </w:tcMar>
            <w:tcW w:w="0" w:type="auto"/>
            <w:textDirection w:val="lrTb"/>
            <w:noWrap w:val="false"/>
          </w:tcPr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с педагогами, сопровождающими деятельность детских общественных объединений и органов ученического самоуправления.</w:t>
            </w:r>
            <w:r/>
          </w:p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в рамках циклов специально организованных внеурочных занятий, посвященных актуальным социальным, нравственным проблемам современного мира.</w:t>
            </w:r>
            <w:r/>
          </w:p>
          <w:p>
            <w:pPr>
              <w:pStyle w:val="6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обучающихся в социально ориентированных объединениях: экологических, волонтерских, трудовых и т. п.</w:t>
            </w:r>
            <w:r/>
          </w:p>
        </w:tc>
      </w:tr>
    </w:tbl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pStyle w:val="6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0"/>
    <w:uiPriority w:val="34"/>
    <w:qFormat/>
    <w:pPr>
      <w:contextualSpacing/>
      <w:ind w:left="720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>
    <w:name w:val="Hyperlink"/>
    <w:basedOn w:val="601"/>
    <w:uiPriority w:val="99"/>
    <w:unhideWhenUsed/>
    <w:rPr>
      <w:color w:val="0563C1" w:themeColor="hyperlink"/>
      <w:u w:val="single"/>
    </w:rPr>
  </w:style>
  <w:style w:type="paragraph" w:styleId="60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 6700</dc:creator>
  <cp:keywords/>
  <dc:description/>
  <cp:lastModifiedBy>Накаева Румика</cp:lastModifiedBy>
  <cp:revision>3</cp:revision>
  <dcterms:created xsi:type="dcterms:W3CDTF">2022-08-25T23:23:00Z</dcterms:created>
  <dcterms:modified xsi:type="dcterms:W3CDTF">2022-08-26T14:11:40Z</dcterms:modified>
</cp:coreProperties>
</file>